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b/>
          <w:bCs/>
          <w:sz w:val="44"/>
          <w:szCs w:val="44"/>
          <w:lang w:val="en-US"/>
        </w:rPr>
      </w:pPr>
      <w:bookmarkStart w:id="0" w:name="_Toc72250646"/>
      <w:bookmarkEnd w:id="0"/>
      <w:bookmarkStart w:id="1" w:name="_Toc57294654"/>
      <w:bookmarkEnd w:id="1"/>
      <w:r>
        <w:rPr>
          <w:rFonts w:hint="eastAsia" w:ascii="宋体" w:hAnsi="宋体" w:eastAsia="宋体" w:cs="宋体"/>
          <w:b/>
          <w:bCs/>
          <w:kern w:val="2"/>
          <w:sz w:val="44"/>
          <w:szCs w:val="44"/>
          <w:lang w:val="en-US" w:eastAsia="zh-CN" w:bidi="ar"/>
        </w:rPr>
        <w:t>甘肃第七建设集团股份有限公司</w:t>
      </w:r>
    </w:p>
    <w:p>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工资总额管理办法</w:t>
      </w:r>
    </w:p>
    <w:p>
      <w:pPr>
        <w:keepNext w:val="0"/>
        <w:keepLines w:val="0"/>
        <w:widowControl w:val="0"/>
        <w:suppressLineNumbers w:val="0"/>
        <w:spacing w:before="312" w:beforeLines="100" w:beforeAutospacing="0" w:after="0" w:afterAutospacing="0" w:line="600" w:lineRule="exact"/>
        <w:ind w:left="0" w:right="0"/>
        <w:jc w:val="center"/>
        <w:rPr>
          <w:rFonts w:hint="eastAsia" w:ascii="方正小标宋简体" w:hAnsi="仿宋" w:eastAsia="方正小标宋简体" w:cs="方正小标宋简体"/>
          <w:sz w:val="40"/>
          <w:szCs w:val="40"/>
          <w:lang w:val="en-US"/>
        </w:rPr>
      </w:pPr>
      <w:r>
        <w:rPr>
          <w:rFonts w:hint="eastAsia" w:ascii="黑体" w:hAnsi="宋体" w:eastAsia="黑体" w:cs="黑体"/>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 xml:space="preserve">第一条 </w:t>
      </w:r>
      <w:bookmarkStart w:id="5" w:name="_GoBack"/>
      <w:bookmarkStart w:id="2" w:name="OLE_LINK3"/>
      <w:r>
        <w:rPr>
          <w:rFonts w:hint="eastAsia" w:ascii="仿宋" w:hAnsi="仿宋" w:eastAsia="仿宋" w:cs="仿宋"/>
          <w:kern w:val="2"/>
          <w:sz w:val="32"/>
          <w:szCs w:val="32"/>
          <w:lang w:val="en-US" w:eastAsia="zh-CN" w:bidi="ar"/>
        </w:rPr>
        <w:t>为进一步建立健全与劳动力市场基本适应、与企业经济效益和劳动生产率挂钩的工资决定和正常增长机制，促进收入分配更合理、更有序，充分调动企业职工的积极性、主动性和创造性，进一步激发企业创造力，提高市场竞争力，推动集团公司各板块做强做优做大，</w:t>
      </w:r>
      <w:bookmarkEnd w:id="5"/>
      <w:bookmarkEnd w:id="2"/>
      <w:r>
        <w:rPr>
          <w:rFonts w:hint="eastAsia" w:ascii="仿宋" w:hAnsi="仿宋" w:eastAsia="仿宋" w:cs="仿宋"/>
          <w:kern w:val="2"/>
          <w:sz w:val="32"/>
          <w:szCs w:val="32"/>
          <w:lang w:val="en-US" w:eastAsia="zh-CN" w:bidi="ar"/>
        </w:rPr>
        <w:t>根据省政府国资委《关于改革省属监管企业工资决定机制的实施办法(试行)》(甘国资发考核〔2019〕122号)和甘肃建投《所属企业工资总额管理办法》（甘建总发〔2019〕72号）等有关文件精神，结合甘肃第七建设集团股份有限公司（以下简称“集团公司”）实际，制定本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第二条</w:t>
      </w:r>
      <w:r>
        <w:rPr>
          <w:rFonts w:hint="eastAsia" w:ascii="仿宋" w:hAnsi="仿宋" w:eastAsia="仿宋" w:cs="仿宋"/>
          <w:kern w:val="2"/>
          <w:sz w:val="32"/>
          <w:szCs w:val="32"/>
          <w:lang w:val="en-US" w:eastAsia="zh-CN" w:bidi="ar"/>
        </w:rPr>
        <w:t xml:space="preserve"> 本办法所称工资总额，是指由企业在一个会计年度内直接支付给与本企业建立劳动关系的全部职工的劳动报酬总额，包括</w:t>
      </w:r>
      <w:bookmarkStart w:id="3" w:name="OLE_LINK1"/>
      <w:r>
        <w:rPr>
          <w:rFonts w:hint="eastAsia" w:ascii="仿宋" w:hAnsi="仿宋" w:eastAsia="仿宋" w:cs="仿宋"/>
          <w:kern w:val="2"/>
          <w:sz w:val="32"/>
          <w:szCs w:val="32"/>
          <w:lang w:val="en-US" w:eastAsia="zh-CN" w:bidi="ar"/>
        </w:rPr>
        <w:t>各类工资、奖金、津贴、补贴、加班加点工资、特殊情况下支付的工资</w:t>
      </w:r>
      <w:bookmarkEnd w:id="3"/>
      <w:r>
        <w:rPr>
          <w:rFonts w:hint="eastAsia" w:ascii="仿宋" w:hAnsi="仿宋" w:eastAsia="仿宋" w:cs="仿宋"/>
          <w:kern w:val="2"/>
          <w:sz w:val="32"/>
          <w:szCs w:val="32"/>
          <w:lang w:val="en-US" w:eastAsia="zh-CN" w:bidi="ar"/>
        </w:rPr>
        <w:t>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第三条</w:t>
      </w:r>
      <w:r>
        <w:rPr>
          <w:rFonts w:hint="eastAsia" w:ascii="仿宋" w:hAnsi="仿宋" w:eastAsia="仿宋" w:cs="仿宋"/>
          <w:kern w:val="2"/>
          <w:sz w:val="32"/>
          <w:szCs w:val="32"/>
          <w:lang w:val="en-US" w:eastAsia="zh-CN" w:bidi="ar"/>
        </w:rPr>
        <w:t xml:space="preserve"> 集团公司工资决定机制遵循以下原则: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坚持建立中国特色现代国有企业制度改革方向与适应集团公司实际相结合。充分发挥企业党委的领导作用，坚持所有权和经营权相分离，依法落实董事会的工资分配管理权，使工资收入分配机制符合国企发展规律。根据企业发展的总体水平、经营状况和发展战略，合理确定工资水平，有效激发企业创新创造活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坚持效益导向与兼顾公平相结合。坚持按劳分配原则，以经济效益为导向，在经济效益增长和劳动生产率提高的同时，实现劳动报酬同步提高。统筹处理好企业职工之间的工资分配关系，既充分体现效益和业绩，又保持相对公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3.坚持市场确定与集团公司监管相结合。发挥市场在企业工资分配中的决定性作用，实现职工工资水平与劳动力市场价位相适应，与增强企业市场竞争力相匹配，能增能减，富有弹性。更好发挥集团公司对所属各基层公司工资分配的宏观指导和调控作用，建立健全制度科学、程序规范、公正公平的事前引导和事后监管机制，规范工资分配秩序。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健全工资总额决定机制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第四条</w:t>
      </w:r>
      <w:r>
        <w:rPr>
          <w:rFonts w:hint="eastAsia" w:ascii="仿宋" w:hAnsi="仿宋" w:eastAsia="仿宋" w:cs="仿宋"/>
          <w:kern w:val="2"/>
          <w:sz w:val="32"/>
          <w:szCs w:val="32"/>
          <w:lang w:val="en-US" w:eastAsia="zh-CN" w:bidi="ar"/>
        </w:rPr>
        <w:t xml:space="preserve"> 工资总额确定办法。集团公司每年度按照企业生产经营目标、薪酬策略、经济效益等，综合考虑劳动生产率提高和人工成本投入产出率、职工工资水平市场对标等情况，结合甘肃建投核定的工资总额调控线，合理确定集团公司年度工资总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第五条</w:t>
      </w:r>
      <w:r>
        <w:rPr>
          <w:rFonts w:hint="eastAsia" w:ascii="仿宋" w:hAnsi="仿宋" w:eastAsia="仿宋" w:cs="仿宋"/>
          <w:kern w:val="2"/>
          <w:sz w:val="32"/>
          <w:szCs w:val="32"/>
          <w:lang w:val="en-US" w:eastAsia="zh-CN" w:bidi="ar"/>
        </w:rPr>
        <w:t xml:space="preserve"> 效益联动指标。企业经济效益指标主要选取利润总额、净资产收益率等指标。劳动生产率指标主要选取人均利润等指标；人工成本投入产出指标选取人工成本利润率指标。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第六条</w:t>
      </w:r>
      <w:r>
        <w:rPr>
          <w:rFonts w:hint="eastAsia" w:ascii="仿宋" w:hAnsi="仿宋" w:eastAsia="仿宋" w:cs="仿宋"/>
          <w:kern w:val="2"/>
          <w:sz w:val="32"/>
          <w:szCs w:val="32"/>
          <w:lang w:val="en-US" w:eastAsia="zh-CN" w:bidi="ar"/>
        </w:rPr>
        <w:t xml:space="preserve"> 完善工资与效益联动机制。集团公司按照“工资总额和效益同向增减”的原则，在甘肃建投确定的工资总额调控线范围内确定年度工资总额增长或下降幅度，对所属各基层公司的工资总额实行总量调控。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1.国有资本实现保值增值，且经济效益增长的单位，当年工资总额增长幅度可在不超过经济效益增长幅度范围内确定。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2.实现国有资产保值，但经济效益下降的单位，除受政策调整等非经营性因素影响外，当年工资总额原则上同比例下降。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3.剔除受政策调整等非经营性因素影响后，未实现国有资产保值增值的单位，工资总额不得增长，或者适度下降。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实现国有资本保值增值，但对未完成集团公司下达的主要经营管理考核目标值（经济总量、订单、利润、上缴服务费等）的单位，经济效益同比增长，工资总额可适当少增；经济效益同比下降的，工资总额原则上同比例下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5.亏损单位同比减亏的，工资总额可适当少增，增幅在不高于经济效益或劳动生产率增幅范围内确定；同比增亏的，工资总额原则上同比例下降。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 xml:space="preserve">第七条 </w:t>
      </w:r>
      <w:r>
        <w:rPr>
          <w:rFonts w:hint="eastAsia" w:ascii="仿宋" w:hAnsi="仿宋" w:eastAsia="仿宋" w:cs="仿宋"/>
          <w:kern w:val="2"/>
          <w:sz w:val="32"/>
          <w:szCs w:val="32"/>
          <w:lang w:val="en-US" w:eastAsia="zh-CN" w:bidi="ar"/>
        </w:rPr>
        <w:t>集团公司按照工资与效益联动机制确定工资总额，原则上增人不增工资总额、减人不减工资总额，但发生业务重组或关闭退出、新设机构等情况而规模性增加或者减少人员的，可以参照同类型单位在岗职工平均工资水平合理增加或者减少工资总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 xml:space="preserve">第三章  </w:t>
      </w:r>
      <w:bookmarkStart w:id="4" w:name="OLE_LINK2"/>
      <w:r>
        <w:rPr>
          <w:rFonts w:hint="eastAsia" w:ascii="黑体" w:hAnsi="宋体" w:eastAsia="黑体" w:cs="黑体"/>
          <w:kern w:val="2"/>
          <w:sz w:val="32"/>
          <w:szCs w:val="32"/>
          <w:lang w:val="en-US" w:eastAsia="zh-CN" w:bidi="ar"/>
        </w:rPr>
        <w:t>规范编制工资总额预算</w:t>
      </w:r>
      <w:bookmarkEnd w:id="4"/>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第八条</w:t>
      </w:r>
      <w:r>
        <w:rPr>
          <w:rFonts w:hint="eastAsia" w:ascii="仿宋" w:hAnsi="仿宋" w:eastAsia="仿宋" w:cs="仿宋"/>
          <w:kern w:val="2"/>
          <w:sz w:val="32"/>
          <w:szCs w:val="32"/>
          <w:lang w:val="en-US" w:eastAsia="zh-CN" w:bidi="ar"/>
        </w:rPr>
        <w:t xml:space="preserve"> 集团公司实行工资总额预算管理，并对所属各基层公司的工资总额预算实施核准制管理，进行有效控制和监督。各单位根据备案或核准的工资总额调控线，合理编制年度工资总额预算，于每年5月底之前将《工资总额预（决）算表》《年度效益及人力指标预算表》（见附件）报集团公司人力资源部。工资总额预算不符合本办法原则规定的，集团公司将要求其调整或重新编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第九条</w:t>
      </w:r>
      <w:r>
        <w:rPr>
          <w:rFonts w:hint="eastAsia" w:ascii="仿宋" w:hAnsi="仿宋" w:eastAsia="仿宋" w:cs="仿宋"/>
          <w:kern w:val="2"/>
          <w:sz w:val="32"/>
          <w:szCs w:val="32"/>
          <w:lang w:val="en-US" w:eastAsia="zh-CN" w:bidi="ar"/>
        </w:rPr>
        <w:t xml:space="preserve"> 所属各基层公司年度工资总额预算编制原则上应与上年度财务决算合并报表相一致。预算按照中层管理人员、机关一般管理人员、项目部一般管理人员和工人分类编制。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第十条</w:t>
      </w:r>
      <w:r>
        <w:rPr>
          <w:rFonts w:hint="eastAsia" w:ascii="仿宋" w:hAnsi="仿宋" w:eastAsia="仿宋" w:cs="仿宋"/>
          <w:kern w:val="2"/>
          <w:sz w:val="32"/>
          <w:szCs w:val="32"/>
          <w:lang w:val="en-US" w:eastAsia="zh-CN" w:bidi="ar"/>
        </w:rPr>
        <w:t xml:space="preserve">  工资总额初始预算基数按照以下办法确定: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工资总额预算基数原则上以上年度实际发放职工工资总额为基数。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第十一条</w:t>
      </w:r>
      <w:r>
        <w:rPr>
          <w:rFonts w:hint="eastAsia" w:ascii="仿宋" w:hAnsi="仿宋" w:eastAsia="仿宋" w:cs="仿宋"/>
          <w:kern w:val="2"/>
          <w:sz w:val="32"/>
          <w:szCs w:val="32"/>
          <w:lang w:val="en-US" w:eastAsia="zh-CN" w:bidi="ar"/>
        </w:rPr>
        <w:t xml:space="preserve"> 集团公司人力资源部按照本办法要求及相关规定，对所属各基层公司报送的工资总额预（决）算表进行核准，并出具相关意见。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第十二条</w:t>
      </w:r>
      <w:r>
        <w:rPr>
          <w:rFonts w:hint="eastAsia" w:ascii="仿宋" w:hAnsi="仿宋" w:eastAsia="仿宋" w:cs="仿宋"/>
          <w:kern w:val="2"/>
          <w:sz w:val="32"/>
          <w:szCs w:val="32"/>
          <w:lang w:val="en-US" w:eastAsia="zh-CN" w:bidi="ar"/>
        </w:rPr>
        <w:t xml:space="preserve"> 所属各基层公司应严格执行经核准的工资总额预算，并应与经营业绩考核结果联动。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加强企业内部分配管理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第十三条</w:t>
      </w:r>
      <w:r>
        <w:rPr>
          <w:rFonts w:hint="eastAsia" w:ascii="仿宋" w:hAnsi="仿宋" w:eastAsia="仿宋" w:cs="仿宋"/>
          <w:kern w:val="2"/>
          <w:sz w:val="32"/>
          <w:szCs w:val="32"/>
          <w:lang w:val="en-US" w:eastAsia="zh-CN" w:bidi="ar"/>
        </w:rPr>
        <w:t xml:space="preserve"> 所属各基层公司在经核准的工资总额预算内，依法依规根据业绩和绩效考核情况确定内部工资分配。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第十四条</w:t>
      </w:r>
      <w:r>
        <w:rPr>
          <w:rFonts w:hint="eastAsia" w:ascii="仿宋" w:hAnsi="仿宋" w:eastAsia="仿宋" w:cs="仿宋"/>
          <w:kern w:val="2"/>
          <w:sz w:val="32"/>
          <w:szCs w:val="32"/>
          <w:lang w:val="en-US" w:eastAsia="zh-CN" w:bidi="ar"/>
        </w:rPr>
        <w:t xml:space="preserve"> 所属各基层公司应健全以工资总额管理为核心的人工成本调控管理体系，严格控制人工成本不合理增长，健全职工薪酬增长激励约束机制，增强企业发展的协调性和可持续性。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第十五条</w:t>
      </w:r>
      <w:r>
        <w:rPr>
          <w:rFonts w:hint="eastAsia" w:ascii="仿宋" w:hAnsi="仿宋" w:eastAsia="仿宋" w:cs="仿宋"/>
          <w:kern w:val="2"/>
          <w:sz w:val="32"/>
          <w:szCs w:val="32"/>
          <w:lang w:val="en-US" w:eastAsia="zh-CN" w:bidi="ar"/>
        </w:rPr>
        <w:t xml:space="preserve"> 规范工资列支渠道。所属各基层公司应调整优化工资收入结构，明确工资发放渠道，逐步实现职工收入工资化、工资货币化、发放透明化。严格清理规范工资外收入，将包括各种津贴、补贴等在内的所有工资性收入一律纳入工资总额管理，不得在工资总额之外以其他形式列支任何工资性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工资总额监督检查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第十六条</w:t>
      </w:r>
      <w:r>
        <w:rPr>
          <w:rFonts w:hint="eastAsia" w:ascii="仿宋" w:hAnsi="仿宋" w:eastAsia="仿宋" w:cs="仿宋"/>
          <w:kern w:val="2"/>
          <w:sz w:val="32"/>
          <w:szCs w:val="32"/>
          <w:lang w:val="en-US" w:eastAsia="zh-CN" w:bidi="ar"/>
        </w:rPr>
        <w:t xml:space="preserve"> 董事会应依照法定程序确定工资分配事项，加强对工资分配决议执行情况的监督。监事会应加强对工资分配的监督检查，督促企业完善工资分配制度并督促落实。企业应将职工工资收入分配情况作为厂务公开的重要内容，定期向职工公开，接受职工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 xml:space="preserve">第十七条 </w:t>
      </w:r>
      <w:r>
        <w:rPr>
          <w:rFonts w:hint="eastAsia" w:ascii="仿宋" w:hAnsi="仿宋" w:eastAsia="仿宋" w:cs="仿宋"/>
          <w:kern w:val="2"/>
          <w:sz w:val="32"/>
          <w:szCs w:val="32"/>
          <w:lang w:val="en-US" w:eastAsia="zh-CN" w:bidi="ar"/>
        </w:rPr>
        <w:t>集团公司人力资源部、财务部、纪委办公室对所属各基层公司执行工资总额预算情况实行动态监控和指导，定期对工资收入分配政策执行情况开展监督检查，对检查中发现存在超提超发工资总额、违规列支工资总额、在工资总额外发放工资性收入等违规行为的，下达限期整改通知书，各单位必须按规定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第十八条</w:t>
      </w:r>
      <w:r>
        <w:rPr>
          <w:rFonts w:hint="eastAsia" w:ascii="仿宋" w:hAnsi="仿宋" w:eastAsia="仿宋" w:cs="仿宋"/>
          <w:kern w:val="2"/>
          <w:sz w:val="32"/>
          <w:szCs w:val="32"/>
          <w:lang w:val="en-US" w:eastAsia="zh-CN" w:bidi="ar"/>
        </w:rPr>
        <w:t xml:space="preserve"> 所属各基层公司存在超提工资总额及其他违规行为的，对超提未发的工资总额应作为利润冲回，并进行相应的财务处理。对已经发放的，在下一年度工资总额中等额扣除。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第十九条</w:t>
      </w:r>
      <w:r>
        <w:rPr>
          <w:rFonts w:hint="eastAsia" w:ascii="仿宋" w:hAnsi="仿宋" w:eastAsia="仿宋" w:cs="仿宋"/>
          <w:kern w:val="2"/>
          <w:sz w:val="32"/>
          <w:szCs w:val="32"/>
          <w:lang w:val="en-US" w:eastAsia="zh-CN" w:bidi="ar"/>
        </w:rPr>
        <w:t xml:space="preserve"> 所属各基层公司超提超发工资总额、违规列支工资总额、在工资总额外发放工资性收入，视违规情况，按照干部管理权限对单位负责人和相关责任人员依照有关规定给予党纪、政纪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第二十条</w:t>
      </w:r>
      <w:r>
        <w:rPr>
          <w:rFonts w:hint="eastAsia" w:ascii="仿宋" w:hAnsi="仿宋" w:eastAsia="仿宋" w:cs="仿宋"/>
          <w:kern w:val="2"/>
          <w:sz w:val="32"/>
          <w:szCs w:val="32"/>
          <w:lang w:val="en-US" w:eastAsia="zh-CN" w:bidi="ar"/>
        </w:rPr>
        <w:t xml:space="preserve"> 所属各基层公司工资总额预算执行情况纳入集团公司年度财务决算审计范围，在年度决算报告中专项说明，必要时由审计部门进行专项审计。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第二十一条</w:t>
      </w:r>
      <w:r>
        <w:rPr>
          <w:rFonts w:hint="eastAsia" w:ascii="仿宋" w:hAnsi="仿宋" w:eastAsia="仿宋" w:cs="仿宋"/>
          <w:kern w:val="2"/>
          <w:sz w:val="32"/>
          <w:szCs w:val="32"/>
          <w:lang w:val="en-US" w:eastAsia="zh-CN" w:bidi="ar"/>
        </w:rPr>
        <w:t xml:space="preserve"> 本办法由集团公司人力资源部负责解释和修订。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 w:hAnsi="仿宋" w:eastAsia="仿宋" w:cs="仿宋"/>
          <w:sz w:val="32"/>
          <w:szCs w:val="32"/>
          <w:lang w:val="en-US"/>
        </w:rPr>
      </w:pPr>
      <w:r>
        <w:rPr>
          <w:rFonts w:hint="eastAsia" w:ascii="仿宋" w:hAnsi="仿宋" w:eastAsia="仿宋" w:cs="仿宋"/>
          <w:b/>
          <w:bCs w:val="0"/>
          <w:kern w:val="2"/>
          <w:sz w:val="32"/>
          <w:szCs w:val="32"/>
          <w:lang w:val="en-US" w:eastAsia="zh-CN" w:bidi="ar"/>
        </w:rPr>
        <w:t xml:space="preserve">第二十二条 </w:t>
      </w:r>
      <w:r>
        <w:rPr>
          <w:rFonts w:hint="eastAsia" w:ascii="仿宋" w:hAnsi="仿宋" w:eastAsia="仿宋" w:cs="仿宋"/>
          <w:kern w:val="2"/>
          <w:sz w:val="32"/>
          <w:szCs w:val="32"/>
          <w:lang w:val="en-US" w:eastAsia="zh-CN" w:bidi="ar"/>
        </w:rPr>
        <w:t>本办法自发布之日起实施。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附件：1.工资总额预（决）算表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附件：2.年度效益及人力指标预算表</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rPr>
          <w:rFonts w:hint="eastAsia" w:ascii="仿宋" w:hAnsi="仿宋" w:eastAsia="仿宋" w:cs="Times New Roman"/>
          <w:kern w:val="2"/>
          <w:sz w:val="32"/>
          <w:szCs w:val="32"/>
          <w:lang w:val="en-US" w:eastAsia="zh-CN" w:bidi="ar"/>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6554"/>
        </w:sect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附件1：</w:t>
      </w:r>
    </w:p>
    <w:tbl>
      <w:tblPr>
        <w:tblStyle w:val="15"/>
        <w:tblW w:w="8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9"/>
        <w:gridCol w:w="765"/>
        <w:gridCol w:w="799"/>
        <w:gridCol w:w="1455"/>
        <w:gridCol w:w="403"/>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8891" w:type="dxa"/>
            <w:gridSpan w:val="6"/>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小标宋简体" w:hAnsi="宋体" w:eastAsia="方正小标宋简体" w:cs="宋体"/>
                <w:kern w:val="0"/>
                <w:sz w:val="32"/>
                <w:szCs w:val="32"/>
                <w:lang w:val="en-US"/>
              </w:rPr>
            </w:pPr>
            <w:r>
              <w:rPr>
                <w:rFonts w:hint="eastAsia" w:ascii="方正小标宋简体" w:hAnsi="宋体" w:eastAsia="方正小标宋简体" w:cs="宋体"/>
                <w:kern w:val="0"/>
                <w:sz w:val="32"/>
                <w:szCs w:val="32"/>
                <w:u w:val="single"/>
                <w:lang w:val="en-US" w:eastAsia="zh-CN" w:bidi="ar"/>
              </w:rPr>
              <w:t xml:space="preserve">    </w:t>
            </w:r>
            <w:r>
              <w:rPr>
                <w:rFonts w:hint="eastAsia" w:ascii="方正小标宋简体" w:hAnsi="宋体" w:eastAsia="方正小标宋简体" w:cs="宋体"/>
                <w:kern w:val="0"/>
                <w:sz w:val="32"/>
                <w:szCs w:val="32"/>
                <w:lang w:val="en-US" w:eastAsia="zh-CN" w:bidi="ar"/>
              </w:rPr>
              <w:t>年度工资总额预（决）算表</w:t>
            </w:r>
          </w:p>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Times New Roman" w:cs="Times New Roman"/>
                <w:kern w:val="0"/>
                <w:sz w:val="20"/>
                <w:szCs w:val="20"/>
                <w:lang w:val="en-US"/>
              </w:rPr>
            </w:pPr>
            <w:r>
              <w:rPr>
                <w:rFonts w:hint="eastAsia" w:ascii="宋体" w:hAnsi="宋体" w:eastAsia="宋体" w:cs="宋体"/>
                <w:kern w:val="0"/>
                <w:sz w:val="24"/>
                <w:szCs w:val="24"/>
                <w:lang w:val="en-US" w:eastAsia="zh-CN" w:bidi="ar"/>
              </w:rPr>
              <w:t>单位名称（盖章）:</w:t>
            </w:r>
            <w:r>
              <w:rPr>
                <w:rFonts w:hint="default" w:ascii="Times New Roman" w:hAnsi="Times New Roman" w:eastAsia="等线" w:cs="Times New Roman"/>
                <w:kern w:val="0"/>
                <w:sz w:val="20"/>
                <w:szCs w:val="20"/>
                <w:lang w:val="en-US" w:eastAsia="zh-CN" w:bidi="ar"/>
              </w:rPr>
              <w:t xml:space="preserve">                                       </w:t>
            </w:r>
            <w:r>
              <w:rPr>
                <w:rFonts w:hint="eastAsia" w:ascii="宋体" w:hAnsi="宋体" w:eastAsia="宋体" w:cs="宋体"/>
                <w:kern w:val="0"/>
                <w:sz w:val="24"/>
                <w:szCs w:val="24"/>
                <w:lang w:val="en-US" w:eastAsia="zh-CN" w:bidi="ar"/>
              </w:rPr>
              <w:t>填报日期：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trPr>
        <w:tc>
          <w:tcPr>
            <w:tcW w:w="5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kern w:val="0"/>
                <w:sz w:val="22"/>
                <w:szCs w:val="22"/>
                <w:lang w:val="en-US"/>
              </w:rPr>
            </w:pPr>
            <w:r>
              <w:rPr>
                <w:rFonts w:hint="eastAsia" w:ascii="宋体" w:hAnsi="宋体" w:eastAsia="宋体" w:cs="宋体"/>
                <w:b/>
                <w:bCs/>
                <w:kern w:val="0"/>
                <w:sz w:val="22"/>
                <w:szCs w:val="22"/>
                <w:lang w:val="en-US" w:eastAsia="zh-CN" w:bidi="ar"/>
              </w:rPr>
              <w:t>项目</w:t>
            </w:r>
          </w:p>
        </w:tc>
        <w:tc>
          <w:tcPr>
            <w:tcW w:w="7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kern w:val="0"/>
                <w:sz w:val="22"/>
                <w:szCs w:val="22"/>
                <w:lang w:val="en-US"/>
              </w:rPr>
            </w:pPr>
            <w:r>
              <w:rPr>
                <w:rFonts w:hint="eastAsia" w:ascii="宋体" w:hAnsi="宋体" w:eastAsia="宋体" w:cs="宋体"/>
                <w:b/>
                <w:bCs/>
                <w:kern w:val="0"/>
                <w:sz w:val="22"/>
                <w:szCs w:val="22"/>
                <w:lang w:val="en-US" w:eastAsia="zh-CN" w:bidi="ar"/>
              </w:rPr>
              <w:t>行</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kern w:val="0"/>
                <w:sz w:val="22"/>
                <w:szCs w:val="22"/>
                <w:lang w:val="en-US"/>
              </w:rPr>
            </w:pPr>
            <w:r>
              <w:rPr>
                <w:rFonts w:hint="eastAsia" w:ascii="宋体" w:hAnsi="宋体" w:eastAsia="宋体" w:cs="宋体"/>
                <w:b/>
                <w:bCs/>
                <w:kern w:val="0"/>
                <w:sz w:val="22"/>
                <w:szCs w:val="22"/>
                <w:lang w:val="en-US" w:eastAsia="zh-CN" w:bidi="ar"/>
              </w:rPr>
              <w:t>次</w:t>
            </w:r>
          </w:p>
        </w:tc>
        <w:tc>
          <w:tcPr>
            <w:tcW w:w="185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kern w:val="0"/>
                <w:sz w:val="22"/>
                <w:szCs w:val="22"/>
                <w:lang w:val="en-US"/>
              </w:rPr>
            </w:pPr>
            <w:r>
              <w:rPr>
                <w:rFonts w:hint="eastAsia" w:ascii="宋体" w:hAnsi="宋体" w:eastAsia="宋体" w:cs="宋体"/>
                <w:b/>
                <w:bCs/>
                <w:kern w:val="0"/>
                <w:sz w:val="22"/>
                <w:szCs w:val="22"/>
                <w:lang w:val="en-US" w:eastAsia="zh-CN" w:bidi="ar"/>
              </w:rPr>
              <w:t>上年度清算(决算)</w:t>
            </w:r>
          </w:p>
        </w:tc>
        <w:tc>
          <w:tcPr>
            <w:tcW w:w="11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kern w:val="0"/>
                <w:sz w:val="22"/>
                <w:szCs w:val="22"/>
                <w:lang w:val="en-US"/>
              </w:rPr>
            </w:pPr>
            <w:r>
              <w:rPr>
                <w:rFonts w:hint="eastAsia" w:ascii="宋体" w:hAnsi="宋体" w:eastAsia="宋体" w:cs="宋体"/>
                <w:b/>
                <w:bCs/>
                <w:kern w:val="0"/>
                <w:sz w:val="22"/>
                <w:szCs w:val="22"/>
                <w:lang w:val="en-US" w:eastAsia="zh-CN" w:bidi="ar"/>
              </w:rPr>
              <w:t>本年度预算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（一）职工年平均人数（人）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r>
              <w:rPr>
                <w:rFonts w:hint="eastAsia" w:ascii="宋体" w:hAnsi="宋体" w:eastAsia="宋体" w:cs="宋体"/>
                <w:color w:val="FF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1.其中:在岗职工年平均人数（人）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r>
              <w:rPr>
                <w:rFonts w:hint="eastAsia" w:ascii="宋体" w:hAnsi="宋体" w:eastAsia="宋体" w:cs="宋体"/>
                <w:color w:val="FF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其中：(1)中层管理人员（人）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r>
              <w:rPr>
                <w:rFonts w:hint="eastAsia" w:ascii="宋体" w:hAnsi="宋体" w:eastAsia="宋体" w:cs="宋体"/>
                <w:color w:val="FF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(2)机关一般管理人员（人）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4</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r>
              <w:rPr>
                <w:rFonts w:hint="eastAsia" w:ascii="宋体" w:hAnsi="宋体" w:eastAsia="宋体" w:cs="宋体"/>
                <w:color w:val="FF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(3)项目一般管理人员（人）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5</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(4)工人（人）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6</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r>
              <w:rPr>
                <w:rFonts w:hint="eastAsia" w:ascii="宋体" w:hAnsi="宋体" w:eastAsia="宋体" w:cs="宋体"/>
                <w:color w:val="FF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2.内退人数（人）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7</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r>
              <w:rPr>
                <w:rFonts w:hint="eastAsia" w:ascii="宋体" w:hAnsi="宋体" w:eastAsia="宋体" w:cs="宋体"/>
                <w:color w:val="FF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3.其他不在岗人数（人）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8</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FF0000"/>
                <w:kern w:val="0"/>
                <w:sz w:val="20"/>
                <w:szCs w:val="20"/>
                <w:lang w:val="en-US"/>
              </w:rPr>
            </w:pPr>
            <w:r>
              <w:rPr>
                <w:rFonts w:hint="eastAsia" w:ascii="宋体" w:hAnsi="宋体" w:eastAsia="宋体" w:cs="宋体"/>
                <w:color w:val="FF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（二）工资总额基数(万元)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9</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（三）按预算效益计算适用的调控线</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10</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（四）实际发放职工工资总额预（决）算（万元）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11</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12</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其中：1.在岗职工工资总额（万元）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13</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14</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其中：(1)中层管理人员（万元）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15</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16</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(2)机关一般管理人员（万元）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17</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18</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(3)项目一般管理人员（万元）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19</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20</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(4)工人（万元）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21</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22</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2.内退、其他不在岗人员工资总额（万元）</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23</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（五）职工平均工资（元/人）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24</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25</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其中：1.在岗职工平均工资（元/人）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26</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27</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其中：(1)中层管理人员（元/人）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28</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29</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(2)机关一般管理人员（元/人）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30</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31</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(3)项目一般管理人员（元/人）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32</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33</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(4)工人（元/人）</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34</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 w:hRule="atLeast"/>
        </w:trPr>
        <w:tc>
          <w:tcPr>
            <w:tcW w:w="508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 xml:space="preserve">                          增长幅度（%）</w:t>
            </w:r>
          </w:p>
        </w:tc>
        <w:tc>
          <w:tcPr>
            <w:tcW w:w="7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35</w:t>
            </w:r>
          </w:p>
        </w:tc>
        <w:tc>
          <w:tcPr>
            <w:tcW w:w="185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c>
          <w:tcPr>
            <w:tcW w:w="11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891" w:type="dxa"/>
            <w:gridSpan w:val="6"/>
            <w:vMerge w:val="restart"/>
            <w:tcBorders>
              <w:top w:val="single" w:color="auto" w:sz="4"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rPr>
            </w:pPr>
            <w:r>
              <w:rPr>
                <w:rFonts w:hint="eastAsia" w:ascii="宋体" w:hAnsi="宋体" w:eastAsia="宋体" w:cs="宋体"/>
                <w:kern w:val="0"/>
                <w:sz w:val="20"/>
                <w:szCs w:val="20"/>
                <w:lang w:val="en-US" w:eastAsia="zh-CN" w:bidi="ar"/>
              </w:rPr>
              <w:t xml:space="preserve">注：行次关系1＝2+7+8,2＝3+4+5+6,24=11/1*10000,26=13/2*10000,28=15/3*10000，30=17/4*10000,32=19/5*10000,34=21/6*10000，其中一般数字代表行次,10000代表单位换算。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891" w:type="dxa"/>
            <w:gridSpan w:val="6"/>
            <w:vMerge w:val="continue"/>
            <w:tcBorders>
              <w:top w:val="single" w:color="auto" w:sz="4" w:space="0"/>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trPr>
        <w:tc>
          <w:tcPr>
            <w:tcW w:w="4319"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000000"/>
                <w:sz w:val="32"/>
                <w:szCs w:val="32"/>
                <w:lang w:val="en-US"/>
              </w:rPr>
            </w:pPr>
            <w:r>
              <w:rPr>
                <w:rFonts w:hint="eastAsia" w:ascii="黑体" w:hAnsi="宋体" w:eastAsia="黑体" w:cs="黑体"/>
                <w:color w:val="000000"/>
                <w:kern w:val="0"/>
                <w:sz w:val="32"/>
                <w:szCs w:val="32"/>
                <w:lang w:val="en-US" w:eastAsia="zh-CN" w:bidi="ar"/>
              </w:rPr>
              <w:t>附件</w:t>
            </w:r>
            <w:r>
              <w:rPr>
                <w:rStyle w:val="23"/>
                <w:kern w:val="2"/>
                <w:sz w:val="32"/>
                <w:szCs w:val="32"/>
                <w:lang w:val="en-US" w:eastAsia="zh-CN" w:bidi="ar"/>
              </w:rPr>
              <w:t>2</w:t>
            </w:r>
          </w:p>
        </w:tc>
        <w:tc>
          <w:tcPr>
            <w:tcW w:w="1564" w:type="dxa"/>
            <w:gridSpan w:val="2"/>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sz w:val="32"/>
                <w:szCs w:val="32"/>
                <w:lang w:val="en-US"/>
              </w:rPr>
            </w:pPr>
          </w:p>
        </w:tc>
        <w:tc>
          <w:tcPr>
            <w:tcW w:w="1455" w:type="dxa"/>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sz w:val="32"/>
                <w:szCs w:val="32"/>
                <w:lang w:val="en-US"/>
              </w:rPr>
            </w:pPr>
          </w:p>
        </w:tc>
        <w:tc>
          <w:tcPr>
            <w:tcW w:w="1553" w:type="dxa"/>
            <w:gridSpan w:val="2"/>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黑体" w:hAnsi="宋体" w:eastAsia="黑体" w:cs="黑体"/>
                <w:color w:val="000000"/>
                <w:sz w:val="32"/>
                <w:szCs w:val="32"/>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0" w:hRule="atLeast"/>
        </w:trPr>
        <w:tc>
          <w:tcPr>
            <w:tcW w:w="8891" w:type="dxa"/>
            <w:gridSpan w:val="6"/>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color w:val="000000"/>
                <w:sz w:val="32"/>
                <w:szCs w:val="32"/>
                <w:lang w:val="en-US"/>
              </w:rPr>
            </w:pPr>
            <w:r>
              <w:rPr>
                <w:rFonts w:hint="eastAsia" w:ascii="方正小标宋简体" w:hAnsi="方正小标宋简体" w:eastAsia="方正小标宋简体" w:cs="方正小标宋简体"/>
                <w:color w:val="000000"/>
                <w:kern w:val="0"/>
                <w:sz w:val="32"/>
                <w:szCs w:val="32"/>
                <w:u w:val="single"/>
                <w:lang w:val="en-US" w:eastAsia="zh-CN" w:bidi="ar"/>
              </w:rPr>
              <w:t xml:space="preserve">      </w:t>
            </w:r>
            <w:r>
              <w:rPr>
                <w:rFonts w:hint="eastAsia" w:ascii="方正小标宋简体" w:hAnsi="方正小标宋简体" w:eastAsia="方正小标宋简体" w:cs="方正小标宋简体"/>
                <w:color w:val="000000"/>
                <w:kern w:val="0"/>
                <w:sz w:val="32"/>
                <w:szCs w:val="32"/>
                <w:lang w:val="en-US" w:eastAsia="zh-CN" w:bidi="ar"/>
              </w:rPr>
              <w:t>年度效益及人力指标预算表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8891" w:type="dxa"/>
            <w:gridSpan w:val="6"/>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sz w:val="28"/>
                <w:szCs w:val="28"/>
                <w:lang w:val="en-US"/>
              </w:rPr>
            </w:pPr>
            <w:r>
              <w:rPr>
                <w:rFonts w:hint="eastAsia" w:ascii="宋体" w:hAnsi="宋体" w:eastAsia="宋体" w:cs="宋体"/>
                <w:color w:val="000000"/>
                <w:kern w:val="0"/>
                <w:sz w:val="28"/>
                <w:szCs w:val="28"/>
                <w:lang w:val="en-US" w:eastAsia="zh-CN" w:bidi="ar"/>
              </w:rPr>
              <w:t>企业名称:甘肃第七建设集团股份有限公司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1"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项　　目</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行次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2021年度</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实际完成数</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2022年度预算数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（一）国有资产保值增值率（%）</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（二）企业总资产(万元)</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（三）企业净资产(万元)</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（四）营业收入(万元)</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（五）利润总额（万元）</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                利润总额增长幅度(%)</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（六）人均利润(万元/人)</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（七）净利润(万元)</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                 净利润增长幅度(%)</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（八）人均净利润（万元/人）</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0"/>
                <w:sz w:val="24"/>
                <w:szCs w:val="24"/>
                <w:lang w:val="en-US" w:eastAsia="zh-CN" w:bidi="ar"/>
              </w:rPr>
              <w:t>（九）</w:t>
            </w:r>
            <w:r>
              <w:rPr>
                <w:rFonts w:hint="eastAsia" w:ascii="宋体" w:hAnsi="宋体" w:eastAsia="宋体" w:cs="宋体"/>
                <w:color w:val="000000"/>
                <w:kern w:val="0"/>
                <w:sz w:val="24"/>
                <w:szCs w:val="24"/>
                <w:lang w:val="en-US" w:eastAsia="zh-CN" w:bidi="ar"/>
              </w:rPr>
              <w:t>净资产收益率（%）</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（十）经济增加值（万元）</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0"/>
                <w:szCs w:val="20"/>
                <w:lang w:val="en-US" w:eastAsia="zh-CN" w:bidi="ar"/>
              </w:rPr>
              <w:t xml:space="preserve">      （仅商业一类企业填报）</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（十一）人事费用率（%）</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13</w:t>
            </w:r>
          </w:p>
        </w:tc>
        <w:tc>
          <w:tcPr>
            <w:tcW w:w="14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eastAsia" w:ascii="Times New Roman" w:hAnsi="Times New Roman" w:eastAsia="宋体" w:cs="宋体"/>
                <w:color w:val="000000"/>
                <w:kern w:val="0"/>
                <w:sz w:val="24"/>
                <w:szCs w:val="24"/>
                <w:lang w:val="en-US" w:eastAsia="zh-CN" w:bidi="ar"/>
              </w:rPr>
              <w:t>（十二）人工成本占成本费用比重（</w:t>
            </w:r>
            <w:r>
              <w:rPr>
                <w:rFonts w:hint="eastAsia" w:ascii="宋体" w:hAnsi="宋体" w:eastAsia="宋体" w:cs="宋体"/>
                <w:color w:val="000000"/>
                <w:kern w:val="0"/>
                <w:sz w:val="24"/>
                <w:szCs w:val="24"/>
                <w:lang w:val="en-US" w:eastAsia="zh-CN" w:bidi="ar"/>
              </w:rPr>
              <w:t>%）</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（十三）成本费用利润率（%）</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4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（十四）人工成本利润率（%）</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8891" w:type="dxa"/>
            <w:gridSpan w:val="6"/>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 注: 国有资产保值增值率=期末所有者权益/期初所有者权益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8891" w:type="dxa"/>
            <w:gridSpan w:val="6"/>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     人事费用率＝人工成本总额/销售收入×100%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891" w:type="dxa"/>
            <w:gridSpan w:val="6"/>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4"/>
                <w:szCs w:val="24"/>
                <w:lang w:val="en-US"/>
              </w:rPr>
            </w:pPr>
            <w:r>
              <w:rPr>
                <w:rFonts w:hint="eastAsia" w:ascii="宋体" w:hAnsi="宋体" w:eastAsia="宋体" w:cs="宋体"/>
                <w:color w:val="000000"/>
                <w:kern w:val="0"/>
                <w:sz w:val="24"/>
                <w:szCs w:val="24"/>
                <w:lang w:val="en-US" w:eastAsia="zh-CN" w:bidi="ar"/>
              </w:rPr>
              <w:t xml:space="preserve">     成本费用利润率=利润总额/成本费用总额×100%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8891" w:type="dxa"/>
            <w:gridSpan w:val="6"/>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人工成本利润率=利润总额/人工成本总额×100%</w:t>
            </w:r>
          </w:p>
        </w:tc>
      </w:tr>
    </w:tbl>
    <w:p/>
    <w:sectPr>
      <w:pgSz w:w="11907" w:h="16840"/>
      <w:pgMar w:top="1985" w:right="1418" w:bottom="1701" w:left="1701" w:header="567" w:footer="1247"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金山简仿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287"/>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GQ1MTQwOWFjOWU5ZmMxM2RjNWQ4ZDY5M2ZiYjAifQ=="/>
  </w:docVars>
  <w:rsids>
    <w:rsidRoot w:val="0053264E"/>
    <w:rsid w:val="00000546"/>
    <w:rsid w:val="00001C32"/>
    <w:rsid w:val="00001F2C"/>
    <w:rsid w:val="00005FD3"/>
    <w:rsid w:val="0000637E"/>
    <w:rsid w:val="0000640C"/>
    <w:rsid w:val="000154A3"/>
    <w:rsid w:val="00015CE9"/>
    <w:rsid w:val="00016DDE"/>
    <w:rsid w:val="000170FA"/>
    <w:rsid w:val="00022567"/>
    <w:rsid w:val="00031254"/>
    <w:rsid w:val="00035D64"/>
    <w:rsid w:val="00036158"/>
    <w:rsid w:val="000366D8"/>
    <w:rsid w:val="00042449"/>
    <w:rsid w:val="0004248D"/>
    <w:rsid w:val="000472AA"/>
    <w:rsid w:val="00047E8E"/>
    <w:rsid w:val="00054F37"/>
    <w:rsid w:val="00055208"/>
    <w:rsid w:val="00064033"/>
    <w:rsid w:val="00065ADA"/>
    <w:rsid w:val="00074399"/>
    <w:rsid w:val="0009042D"/>
    <w:rsid w:val="00090BD4"/>
    <w:rsid w:val="00091D05"/>
    <w:rsid w:val="00093512"/>
    <w:rsid w:val="0009387E"/>
    <w:rsid w:val="000949B0"/>
    <w:rsid w:val="00095EE8"/>
    <w:rsid w:val="00096C22"/>
    <w:rsid w:val="000977DC"/>
    <w:rsid w:val="000A1821"/>
    <w:rsid w:val="000A2105"/>
    <w:rsid w:val="000A33EA"/>
    <w:rsid w:val="000A6D29"/>
    <w:rsid w:val="000B0838"/>
    <w:rsid w:val="000B0977"/>
    <w:rsid w:val="000B1BFA"/>
    <w:rsid w:val="000B3C1B"/>
    <w:rsid w:val="000B60B0"/>
    <w:rsid w:val="000B6FDB"/>
    <w:rsid w:val="000E0F28"/>
    <w:rsid w:val="000E3E61"/>
    <w:rsid w:val="000E6F7D"/>
    <w:rsid w:val="000E790B"/>
    <w:rsid w:val="000F5848"/>
    <w:rsid w:val="000F7FBD"/>
    <w:rsid w:val="00101004"/>
    <w:rsid w:val="00101A3D"/>
    <w:rsid w:val="00102DE8"/>
    <w:rsid w:val="00104AD7"/>
    <w:rsid w:val="0010581E"/>
    <w:rsid w:val="00106564"/>
    <w:rsid w:val="00110C83"/>
    <w:rsid w:val="00111307"/>
    <w:rsid w:val="00116989"/>
    <w:rsid w:val="00116F4C"/>
    <w:rsid w:val="00117074"/>
    <w:rsid w:val="0011791C"/>
    <w:rsid w:val="00121A79"/>
    <w:rsid w:val="001232F4"/>
    <w:rsid w:val="001278B8"/>
    <w:rsid w:val="0012790F"/>
    <w:rsid w:val="00127B76"/>
    <w:rsid w:val="001346EA"/>
    <w:rsid w:val="001352CB"/>
    <w:rsid w:val="00135AE5"/>
    <w:rsid w:val="00136162"/>
    <w:rsid w:val="00141739"/>
    <w:rsid w:val="00144017"/>
    <w:rsid w:val="00147ACA"/>
    <w:rsid w:val="00150968"/>
    <w:rsid w:val="00150A1B"/>
    <w:rsid w:val="00150F20"/>
    <w:rsid w:val="001568D1"/>
    <w:rsid w:val="00162B56"/>
    <w:rsid w:val="001674B5"/>
    <w:rsid w:val="00167E00"/>
    <w:rsid w:val="00174EC9"/>
    <w:rsid w:val="0018189A"/>
    <w:rsid w:val="001914CA"/>
    <w:rsid w:val="00191782"/>
    <w:rsid w:val="001917B0"/>
    <w:rsid w:val="001931E3"/>
    <w:rsid w:val="00196837"/>
    <w:rsid w:val="001A0D0A"/>
    <w:rsid w:val="001A4784"/>
    <w:rsid w:val="001A47B9"/>
    <w:rsid w:val="001A796B"/>
    <w:rsid w:val="001A79DF"/>
    <w:rsid w:val="001B30E0"/>
    <w:rsid w:val="001B4C2B"/>
    <w:rsid w:val="001B5B44"/>
    <w:rsid w:val="001B7546"/>
    <w:rsid w:val="001C4431"/>
    <w:rsid w:val="001C7502"/>
    <w:rsid w:val="001D3329"/>
    <w:rsid w:val="001E0483"/>
    <w:rsid w:val="001E4EE6"/>
    <w:rsid w:val="001E52EE"/>
    <w:rsid w:val="001E66F8"/>
    <w:rsid w:val="001E7691"/>
    <w:rsid w:val="001F05D1"/>
    <w:rsid w:val="001F7CDD"/>
    <w:rsid w:val="00202F0F"/>
    <w:rsid w:val="002056B1"/>
    <w:rsid w:val="00205C1C"/>
    <w:rsid w:val="00207A81"/>
    <w:rsid w:val="00211888"/>
    <w:rsid w:val="002206D2"/>
    <w:rsid w:val="00224EA1"/>
    <w:rsid w:val="00225842"/>
    <w:rsid w:val="00237F47"/>
    <w:rsid w:val="00241B3F"/>
    <w:rsid w:val="002432EC"/>
    <w:rsid w:val="00250472"/>
    <w:rsid w:val="00251B0A"/>
    <w:rsid w:val="00253902"/>
    <w:rsid w:val="002632A0"/>
    <w:rsid w:val="00264E1E"/>
    <w:rsid w:val="00267893"/>
    <w:rsid w:val="002714F0"/>
    <w:rsid w:val="00271978"/>
    <w:rsid w:val="002726C2"/>
    <w:rsid w:val="00274E7E"/>
    <w:rsid w:val="002752C3"/>
    <w:rsid w:val="00283A2F"/>
    <w:rsid w:val="00293169"/>
    <w:rsid w:val="0029516B"/>
    <w:rsid w:val="00296D0A"/>
    <w:rsid w:val="00297B85"/>
    <w:rsid w:val="002C2199"/>
    <w:rsid w:val="002D00DA"/>
    <w:rsid w:val="002D3A25"/>
    <w:rsid w:val="002E16C4"/>
    <w:rsid w:val="002E1E2E"/>
    <w:rsid w:val="002E2A70"/>
    <w:rsid w:val="002F1C3F"/>
    <w:rsid w:val="002F4534"/>
    <w:rsid w:val="002F7929"/>
    <w:rsid w:val="0030075E"/>
    <w:rsid w:val="0031138A"/>
    <w:rsid w:val="00312A11"/>
    <w:rsid w:val="0031540E"/>
    <w:rsid w:val="00316BFC"/>
    <w:rsid w:val="00316E1B"/>
    <w:rsid w:val="00323161"/>
    <w:rsid w:val="00323E1B"/>
    <w:rsid w:val="0033306D"/>
    <w:rsid w:val="00337E8B"/>
    <w:rsid w:val="003449BD"/>
    <w:rsid w:val="0035073C"/>
    <w:rsid w:val="0036177B"/>
    <w:rsid w:val="003617CA"/>
    <w:rsid w:val="003676CE"/>
    <w:rsid w:val="0036799F"/>
    <w:rsid w:val="00370DD8"/>
    <w:rsid w:val="003744EB"/>
    <w:rsid w:val="003768AC"/>
    <w:rsid w:val="00382678"/>
    <w:rsid w:val="00392D7F"/>
    <w:rsid w:val="003A227F"/>
    <w:rsid w:val="003A2F6D"/>
    <w:rsid w:val="003A5536"/>
    <w:rsid w:val="003B2CB8"/>
    <w:rsid w:val="003C00EC"/>
    <w:rsid w:val="003C078A"/>
    <w:rsid w:val="003C2951"/>
    <w:rsid w:val="003C2A54"/>
    <w:rsid w:val="003C303B"/>
    <w:rsid w:val="003C6CA2"/>
    <w:rsid w:val="003D01FF"/>
    <w:rsid w:val="003D0B74"/>
    <w:rsid w:val="003D2F37"/>
    <w:rsid w:val="003D5DE5"/>
    <w:rsid w:val="003D7DD7"/>
    <w:rsid w:val="003E176C"/>
    <w:rsid w:val="003F0A2D"/>
    <w:rsid w:val="003F17AA"/>
    <w:rsid w:val="003F408E"/>
    <w:rsid w:val="003F4510"/>
    <w:rsid w:val="004023B6"/>
    <w:rsid w:val="00411D4E"/>
    <w:rsid w:val="00414422"/>
    <w:rsid w:val="00417087"/>
    <w:rsid w:val="0042421D"/>
    <w:rsid w:val="00427A4D"/>
    <w:rsid w:val="00443959"/>
    <w:rsid w:val="0044459F"/>
    <w:rsid w:val="00447DA8"/>
    <w:rsid w:val="00447FB0"/>
    <w:rsid w:val="00450D24"/>
    <w:rsid w:val="00451337"/>
    <w:rsid w:val="004515EB"/>
    <w:rsid w:val="0045317E"/>
    <w:rsid w:val="00453606"/>
    <w:rsid w:val="004612A3"/>
    <w:rsid w:val="00462031"/>
    <w:rsid w:val="00463FE3"/>
    <w:rsid w:val="00481B97"/>
    <w:rsid w:val="004820F4"/>
    <w:rsid w:val="00482508"/>
    <w:rsid w:val="00494B06"/>
    <w:rsid w:val="004A30ED"/>
    <w:rsid w:val="004A43D4"/>
    <w:rsid w:val="004A440D"/>
    <w:rsid w:val="004A52C8"/>
    <w:rsid w:val="004B0598"/>
    <w:rsid w:val="004B3A65"/>
    <w:rsid w:val="004C244B"/>
    <w:rsid w:val="004D2B12"/>
    <w:rsid w:val="004D4B33"/>
    <w:rsid w:val="004D6782"/>
    <w:rsid w:val="004E2249"/>
    <w:rsid w:val="004E7EB4"/>
    <w:rsid w:val="004F017F"/>
    <w:rsid w:val="004F2307"/>
    <w:rsid w:val="004F2430"/>
    <w:rsid w:val="004F452E"/>
    <w:rsid w:val="004F7A3B"/>
    <w:rsid w:val="00502BEE"/>
    <w:rsid w:val="00503FA2"/>
    <w:rsid w:val="0051445E"/>
    <w:rsid w:val="0052034A"/>
    <w:rsid w:val="0053264E"/>
    <w:rsid w:val="0053452A"/>
    <w:rsid w:val="00535629"/>
    <w:rsid w:val="00540AD7"/>
    <w:rsid w:val="0055369A"/>
    <w:rsid w:val="00553F43"/>
    <w:rsid w:val="005569A7"/>
    <w:rsid w:val="00557BA6"/>
    <w:rsid w:val="00563DEE"/>
    <w:rsid w:val="005646AD"/>
    <w:rsid w:val="0057513A"/>
    <w:rsid w:val="0058294F"/>
    <w:rsid w:val="00583373"/>
    <w:rsid w:val="00584F5B"/>
    <w:rsid w:val="005863A0"/>
    <w:rsid w:val="00586953"/>
    <w:rsid w:val="00590D3C"/>
    <w:rsid w:val="00595C21"/>
    <w:rsid w:val="00596FDD"/>
    <w:rsid w:val="00597AF2"/>
    <w:rsid w:val="005A00F5"/>
    <w:rsid w:val="005B1AA6"/>
    <w:rsid w:val="005B2831"/>
    <w:rsid w:val="005B5CA4"/>
    <w:rsid w:val="005B7DB0"/>
    <w:rsid w:val="005C2C3F"/>
    <w:rsid w:val="005C4127"/>
    <w:rsid w:val="005C57C1"/>
    <w:rsid w:val="005C769A"/>
    <w:rsid w:val="005D219D"/>
    <w:rsid w:val="005D4A64"/>
    <w:rsid w:val="005D509A"/>
    <w:rsid w:val="005D59FE"/>
    <w:rsid w:val="005E06DE"/>
    <w:rsid w:val="005E077D"/>
    <w:rsid w:val="005E0B90"/>
    <w:rsid w:val="005E417E"/>
    <w:rsid w:val="005F081B"/>
    <w:rsid w:val="005F1995"/>
    <w:rsid w:val="005F6C87"/>
    <w:rsid w:val="005F7A9F"/>
    <w:rsid w:val="0060005A"/>
    <w:rsid w:val="00604BC9"/>
    <w:rsid w:val="00605147"/>
    <w:rsid w:val="00606A83"/>
    <w:rsid w:val="0061066B"/>
    <w:rsid w:val="00613A8E"/>
    <w:rsid w:val="00615C40"/>
    <w:rsid w:val="006216A6"/>
    <w:rsid w:val="00623F37"/>
    <w:rsid w:val="00627EF4"/>
    <w:rsid w:val="00632EF9"/>
    <w:rsid w:val="0064188F"/>
    <w:rsid w:val="00644A4B"/>
    <w:rsid w:val="00644B31"/>
    <w:rsid w:val="0064779A"/>
    <w:rsid w:val="00650181"/>
    <w:rsid w:val="0065186D"/>
    <w:rsid w:val="00651CF6"/>
    <w:rsid w:val="00652456"/>
    <w:rsid w:val="00653AAC"/>
    <w:rsid w:val="00660F0A"/>
    <w:rsid w:val="00671555"/>
    <w:rsid w:val="0067279A"/>
    <w:rsid w:val="006734ED"/>
    <w:rsid w:val="006758F3"/>
    <w:rsid w:val="006760FD"/>
    <w:rsid w:val="00691FE7"/>
    <w:rsid w:val="00695D06"/>
    <w:rsid w:val="006A019F"/>
    <w:rsid w:val="006A0477"/>
    <w:rsid w:val="006A6CCF"/>
    <w:rsid w:val="006B6775"/>
    <w:rsid w:val="006C61DD"/>
    <w:rsid w:val="006D2A78"/>
    <w:rsid w:val="006E1DB2"/>
    <w:rsid w:val="006F437A"/>
    <w:rsid w:val="006F468B"/>
    <w:rsid w:val="00710965"/>
    <w:rsid w:val="00716DFF"/>
    <w:rsid w:val="00722195"/>
    <w:rsid w:val="00723752"/>
    <w:rsid w:val="00726CB6"/>
    <w:rsid w:val="0073246E"/>
    <w:rsid w:val="00734681"/>
    <w:rsid w:val="007410E0"/>
    <w:rsid w:val="00745CBA"/>
    <w:rsid w:val="007470B5"/>
    <w:rsid w:val="00753DA5"/>
    <w:rsid w:val="00755D20"/>
    <w:rsid w:val="00756DB5"/>
    <w:rsid w:val="00757D5B"/>
    <w:rsid w:val="00763F77"/>
    <w:rsid w:val="00765BA9"/>
    <w:rsid w:val="00767FED"/>
    <w:rsid w:val="007700EC"/>
    <w:rsid w:val="00771125"/>
    <w:rsid w:val="00773E35"/>
    <w:rsid w:val="00774B75"/>
    <w:rsid w:val="00774BCA"/>
    <w:rsid w:val="00776821"/>
    <w:rsid w:val="00780DFB"/>
    <w:rsid w:val="00787FF1"/>
    <w:rsid w:val="00791A47"/>
    <w:rsid w:val="00791D28"/>
    <w:rsid w:val="00793E8E"/>
    <w:rsid w:val="007A0C06"/>
    <w:rsid w:val="007A2A81"/>
    <w:rsid w:val="007A5542"/>
    <w:rsid w:val="007A5EFE"/>
    <w:rsid w:val="007B26AC"/>
    <w:rsid w:val="007C0AE5"/>
    <w:rsid w:val="007C0C7C"/>
    <w:rsid w:val="007C11B3"/>
    <w:rsid w:val="007C1641"/>
    <w:rsid w:val="007C23B9"/>
    <w:rsid w:val="007C5743"/>
    <w:rsid w:val="007D2440"/>
    <w:rsid w:val="007D4C89"/>
    <w:rsid w:val="007D4D68"/>
    <w:rsid w:val="007E0E5B"/>
    <w:rsid w:val="007E273A"/>
    <w:rsid w:val="007E4463"/>
    <w:rsid w:val="007E7753"/>
    <w:rsid w:val="007F3380"/>
    <w:rsid w:val="00800274"/>
    <w:rsid w:val="00801579"/>
    <w:rsid w:val="008051E4"/>
    <w:rsid w:val="00805E60"/>
    <w:rsid w:val="00806C00"/>
    <w:rsid w:val="00806ED0"/>
    <w:rsid w:val="00811CA7"/>
    <w:rsid w:val="0081780B"/>
    <w:rsid w:val="00822CC2"/>
    <w:rsid w:val="0083757A"/>
    <w:rsid w:val="00837FBD"/>
    <w:rsid w:val="0084175F"/>
    <w:rsid w:val="00843266"/>
    <w:rsid w:val="008461A7"/>
    <w:rsid w:val="00854CFE"/>
    <w:rsid w:val="008558B9"/>
    <w:rsid w:val="00857501"/>
    <w:rsid w:val="00857B87"/>
    <w:rsid w:val="0086214A"/>
    <w:rsid w:val="0086326B"/>
    <w:rsid w:val="008649CA"/>
    <w:rsid w:val="008704B9"/>
    <w:rsid w:val="00871B8C"/>
    <w:rsid w:val="0087761A"/>
    <w:rsid w:val="00884246"/>
    <w:rsid w:val="008870F2"/>
    <w:rsid w:val="00890D92"/>
    <w:rsid w:val="00893BC9"/>
    <w:rsid w:val="00894199"/>
    <w:rsid w:val="00894C50"/>
    <w:rsid w:val="00894E30"/>
    <w:rsid w:val="008A15CE"/>
    <w:rsid w:val="008A6677"/>
    <w:rsid w:val="008A6C71"/>
    <w:rsid w:val="008B0718"/>
    <w:rsid w:val="008B32A1"/>
    <w:rsid w:val="008C1184"/>
    <w:rsid w:val="008C1C99"/>
    <w:rsid w:val="008C3F69"/>
    <w:rsid w:val="008C5AB8"/>
    <w:rsid w:val="008C611E"/>
    <w:rsid w:val="008D06EF"/>
    <w:rsid w:val="008D2B08"/>
    <w:rsid w:val="008D2D3C"/>
    <w:rsid w:val="008D402C"/>
    <w:rsid w:val="008E08A0"/>
    <w:rsid w:val="008E1B72"/>
    <w:rsid w:val="008E386B"/>
    <w:rsid w:val="008E5DC6"/>
    <w:rsid w:val="008E799D"/>
    <w:rsid w:val="008F56F0"/>
    <w:rsid w:val="009004CC"/>
    <w:rsid w:val="009048EE"/>
    <w:rsid w:val="009057C7"/>
    <w:rsid w:val="00906E5D"/>
    <w:rsid w:val="00912E13"/>
    <w:rsid w:val="009140D0"/>
    <w:rsid w:val="00914447"/>
    <w:rsid w:val="00916930"/>
    <w:rsid w:val="00920C9A"/>
    <w:rsid w:val="00921069"/>
    <w:rsid w:val="0092173C"/>
    <w:rsid w:val="00922C6E"/>
    <w:rsid w:val="00923D74"/>
    <w:rsid w:val="0092549B"/>
    <w:rsid w:val="00932CE7"/>
    <w:rsid w:val="0094007B"/>
    <w:rsid w:val="00940BFD"/>
    <w:rsid w:val="00945641"/>
    <w:rsid w:val="00945AC8"/>
    <w:rsid w:val="00947A47"/>
    <w:rsid w:val="00956054"/>
    <w:rsid w:val="00960B36"/>
    <w:rsid w:val="009628C1"/>
    <w:rsid w:val="00962ED2"/>
    <w:rsid w:val="00963398"/>
    <w:rsid w:val="00966547"/>
    <w:rsid w:val="00966EA4"/>
    <w:rsid w:val="00971FC9"/>
    <w:rsid w:val="009914DE"/>
    <w:rsid w:val="00992007"/>
    <w:rsid w:val="00996082"/>
    <w:rsid w:val="0099634B"/>
    <w:rsid w:val="009A099D"/>
    <w:rsid w:val="009A1C82"/>
    <w:rsid w:val="009A79CE"/>
    <w:rsid w:val="009C3E15"/>
    <w:rsid w:val="009D014E"/>
    <w:rsid w:val="009D02E4"/>
    <w:rsid w:val="009E4364"/>
    <w:rsid w:val="009E7066"/>
    <w:rsid w:val="009F270B"/>
    <w:rsid w:val="009F337D"/>
    <w:rsid w:val="009F441E"/>
    <w:rsid w:val="009F724D"/>
    <w:rsid w:val="00A003C6"/>
    <w:rsid w:val="00A010C1"/>
    <w:rsid w:val="00A052CE"/>
    <w:rsid w:val="00A069A4"/>
    <w:rsid w:val="00A07DB2"/>
    <w:rsid w:val="00A10729"/>
    <w:rsid w:val="00A1142A"/>
    <w:rsid w:val="00A20626"/>
    <w:rsid w:val="00A21170"/>
    <w:rsid w:val="00A22AB9"/>
    <w:rsid w:val="00A2545D"/>
    <w:rsid w:val="00A27BA6"/>
    <w:rsid w:val="00A31826"/>
    <w:rsid w:val="00A319B8"/>
    <w:rsid w:val="00A31F4A"/>
    <w:rsid w:val="00A42B3A"/>
    <w:rsid w:val="00A47B11"/>
    <w:rsid w:val="00A53E76"/>
    <w:rsid w:val="00A5504E"/>
    <w:rsid w:val="00A55879"/>
    <w:rsid w:val="00A56802"/>
    <w:rsid w:val="00A56F29"/>
    <w:rsid w:val="00A64560"/>
    <w:rsid w:val="00A65F16"/>
    <w:rsid w:val="00A70FC9"/>
    <w:rsid w:val="00A7157F"/>
    <w:rsid w:val="00A71811"/>
    <w:rsid w:val="00A737E9"/>
    <w:rsid w:val="00A805B9"/>
    <w:rsid w:val="00A81A40"/>
    <w:rsid w:val="00A82C4D"/>
    <w:rsid w:val="00A8713F"/>
    <w:rsid w:val="00A919FB"/>
    <w:rsid w:val="00A9241E"/>
    <w:rsid w:val="00A932DF"/>
    <w:rsid w:val="00A965E0"/>
    <w:rsid w:val="00A97B64"/>
    <w:rsid w:val="00AA0F35"/>
    <w:rsid w:val="00AA6DCE"/>
    <w:rsid w:val="00AB12D8"/>
    <w:rsid w:val="00AB28A9"/>
    <w:rsid w:val="00AB3598"/>
    <w:rsid w:val="00AB39CF"/>
    <w:rsid w:val="00AC6817"/>
    <w:rsid w:val="00AD36ED"/>
    <w:rsid w:val="00AD6458"/>
    <w:rsid w:val="00AE06A7"/>
    <w:rsid w:val="00AE3A77"/>
    <w:rsid w:val="00AE5CCC"/>
    <w:rsid w:val="00AE6141"/>
    <w:rsid w:val="00AE7715"/>
    <w:rsid w:val="00AF571A"/>
    <w:rsid w:val="00B003FB"/>
    <w:rsid w:val="00B02527"/>
    <w:rsid w:val="00B03682"/>
    <w:rsid w:val="00B03703"/>
    <w:rsid w:val="00B045EB"/>
    <w:rsid w:val="00B072C9"/>
    <w:rsid w:val="00B100C1"/>
    <w:rsid w:val="00B16142"/>
    <w:rsid w:val="00B23464"/>
    <w:rsid w:val="00B26AA7"/>
    <w:rsid w:val="00B26BA8"/>
    <w:rsid w:val="00B3360C"/>
    <w:rsid w:val="00B33855"/>
    <w:rsid w:val="00B34533"/>
    <w:rsid w:val="00B357EA"/>
    <w:rsid w:val="00B4018D"/>
    <w:rsid w:val="00B4054F"/>
    <w:rsid w:val="00B41951"/>
    <w:rsid w:val="00B465C9"/>
    <w:rsid w:val="00B5154D"/>
    <w:rsid w:val="00B524CC"/>
    <w:rsid w:val="00B5396C"/>
    <w:rsid w:val="00B54A78"/>
    <w:rsid w:val="00B568DA"/>
    <w:rsid w:val="00B60C14"/>
    <w:rsid w:val="00B632ED"/>
    <w:rsid w:val="00B656CC"/>
    <w:rsid w:val="00B66D49"/>
    <w:rsid w:val="00B727EB"/>
    <w:rsid w:val="00B7300A"/>
    <w:rsid w:val="00B736EF"/>
    <w:rsid w:val="00B74B52"/>
    <w:rsid w:val="00B80297"/>
    <w:rsid w:val="00B83A0B"/>
    <w:rsid w:val="00B84070"/>
    <w:rsid w:val="00B876B4"/>
    <w:rsid w:val="00B90CD5"/>
    <w:rsid w:val="00B92C40"/>
    <w:rsid w:val="00BB0116"/>
    <w:rsid w:val="00BB3080"/>
    <w:rsid w:val="00BB56AB"/>
    <w:rsid w:val="00BB593F"/>
    <w:rsid w:val="00BB692E"/>
    <w:rsid w:val="00BC3619"/>
    <w:rsid w:val="00BC4E74"/>
    <w:rsid w:val="00BD2120"/>
    <w:rsid w:val="00BD3A0A"/>
    <w:rsid w:val="00BD690F"/>
    <w:rsid w:val="00BE22F8"/>
    <w:rsid w:val="00BE6EBB"/>
    <w:rsid w:val="00BF22A9"/>
    <w:rsid w:val="00BF45E8"/>
    <w:rsid w:val="00BF5E4A"/>
    <w:rsid w:val="00C001ED"/>
    <w:rsid w:val="00C107E4"/>
    <w:rsid w:val="00C14E6A"/>
    <w:rsid w:val="00C16C04"/>
    <w:rsid w:val="00C208CE"/>
    <w:rsid w:val="00C24EF9"/>
    <w:rsid w:val="00C26C3D"/>
    <w:rsid w:val="00C27E6B"/>
    <w:rsid w:val="00C30074"/>
    <w:rsid w:val="00C32E71"/>
    <w:rsid w:val="00C34F5D"/>
    <w:rsid w:val="00C47553"/>
    <w:rsid w:val="00C476DA"/>
    <w:rsid w:val="00C542AA"/>
    <w:rsid w:val="00C551CA"/>
    <w:rsid w:val="00C55A3A"/>
    <w:rsid w:val="00C642A8"/>
    <w:rsid w:val="00C70C33"/>
    <w:rsid w:val="00C74343"/>
    <w:rsid w:val="00C771AE"/>
    <w:rsid w:val="00C77AC0"/>
    <w:rsid w:val="00C81672"/>
    <w:rsid w:val="00C857BB"/>
    <w:rsid w:val="00C8773D"/>
    <w:rsid w:val="00C92508"/>
    <w:rsid w:val="00C97CD9"/>
    <w:rsid w:val="00CA0F34"/>
    <w:rsid w:val="00CA448A"/>
    <w:rsid w:val="00CA4520"/>
    <w:rsid w:val="00CA5D35"/>
    <w:rsid w:val="00CA67AB"/>
    <w:rsid w:val="00CA7FBC"/>
    <w:rsid w:val="00CB34A9"/>
    <w:rsid w:val="00CC1BA2"/>
    <w:rsid w:val="00CD2A26"/>
    <w:rsid w:val="00CE3769"/>
    <w:rsid w:val="00CE49F6"/>
    <w:rsid w:val="00CE5BA6"/>
    <w:rsid w:val="00CF136F"/>
    <w:rsid w:val="00CF7951"/>
    <w:rsid w:val="00CF7A53"/>
    <w:rsid w:val="00CF7B14"/>
    <w:rsid w:val="00D018AA"/>
    <w:rsid w:val="00D01E79"/>
    <w:rsid w:val="00D036C6"/>
    <w:rsid w:val="00D03820"/>
    <w:rsid w:val="00D0703D"/>
    <w:rsid w:val="00D10491"/>
    <w:rsid w:val="00D20FDD"/>
    <w:rsid w:val="00D21D16"/>
    <w:rsid w:val="00D2597B"/>
    <w:rsid w:val="00D279D6"/>
    <w:rsid w:val="00D31CF1"/>
    <w:rsid w:val="00D32C4E"/>
    <w:rsid w:val="00D3670C"/>
    <w:rsid w:val="00D445B5"/>
    <w:rsid w:val="00D479F7"/>
    <w:rsid w:val="00D51714"/>
    <w:rsid w:val="00D53571"/>
    <w:rsid w:val="00D65439"/>
    <w:rsid w:val="00D660F6"/>
    <w:rsid w:val="00D70968"/>
    <w:rsid w:val="00D72411"/>
    <w:rsid w:val="00D762FF"/>
    <w:rsid w:val="00D77451"/>
    <w:rsid w:val="00D77D10"/>
    <w:rsid w:val="00D83693"/>
    <w:rsid w:val="00D83B4B"/>
    <w:rsid w:val="00D861FA"/>
    <w:rsid w:val="00D8672A"/>
    <w:rsid w:val="00D8713F"/>
    <w:rsid w:val="00D91C6F"/>
    <w:rsid w:val="00DA1B8B"/>
    <w:rsid w:val="00DA2F6E"/>
    <w:rsid w:val="00DA4CC9"/>
    <w:rsid w:val="00DB1106"/>
    <w:rsid w:val="00DC325D"/>
    <w:rsid w:val="00DD036F"/>
    <w:rsid w:val="00DD49DB"/>
    <w:rsid w:val="00DD723A"/>
    <w:rsid w:val="00DE0E70"/>
    <w:rsid w:val="00DE13CE"/>
    <w:rsid w:val="00DF19B7"/>
    <w:rsid w:val="00E010ED"/>
    <w:rsid w:val="00E024AE"/>
    <w:rsid w:val="00E039B5"/>
    <w:rsid w:val="00E04D2F"/>
    <w:rsid w:val="00E050EA"/>
    <w:rsid w:val="00E10F8B"/>
    <w:rsid w:val="00E119C2"/>
    <w:rsid w:val="00E12C9B"/>
    <w:rsid w:val="00E15644"/>
    <w:rsid w:val="00E16AC9"/>
    <w:rsid w:val="00E17E2C"/>
    <w:rsid w:val="00E2100F"/>
    <w:rsid w:val="00E21490"/>
    <w:rsid w:val="00E239F6"/>
    <w:rsid w:val="00E23FC4"/>
    <w:rsid w:val="00E27E22"/>
    <w:rsid w:val="00E31504"/>
    <w:rsid w:val="00E31E8B"/>
    <w:rsid w:val="00E372FC"/>
    <w:rsid w:val="00E41494"/>
    <w:rsid w:val="00E46974"/>
    <w:rsid w:val="00E50D2B"/>
    <w:rsid w:val="00E60C5C"/>
    <w:rsid w:val="00E63042"/>
    <w:rsid w:val="00E6567A"/>
    <w:rsid w:val="00E65894"/>
    <w:rsid w:val="00E66C21"/>
    <w:rsid w:val="00E75151"/>
    <w:rsid w:val="00E76583"/>
    <w:rsid w:val="00E809E8"/>
    <w:rsid w:val="00E81710"/>
    <w:rsid w:val="00E83CC6"/>
    <w:rsid w:val="00E91C8C"/>
    <w:rsid w:val="00E94509"/>
    <w:rsid w:val="00E947A6"/>
    <w:rsid w:val="00E94CD4"/>
    <w:rsid w:val="00E97330"/>
    <w:rsid w:val="00EA2CF7"/>
    <w:rsid w:val="00EA30F0"/>
    <w:rsid w:val="00EA4EAA"/>
    <w:rsid w:val="00EA7889"/>
    <w:rsid w:val="00EB0CAA"/>
    <w:rsid w:val="00EB5A33"/>
    <w:rsid w:val="00EB5D09"/>
    <w:rsid w:val="00EB7ED2"/>
    <w:rsid w:val="00ED16E6"/>
    <w:rsid w:val="00ED3119"/>
    <w:rsid w:val="00ED44E9"/>
    <w:rsid w:val="00EE2118"/>
    <w:rsid w:val="00EE443F"/>
    <w:rsid w:val="00EE4A57"/>
    <w:rsid w:val="00EF1869"/>
    <w:rsid w:val="00EF2229"/>
    <w:rsid w:val="00EF4BFD"/>
    <w:rsid w:val="00F01BFD"/>
    <w:rsid w:val="00F11DCD"/>
    <w:rsid w:val="00F177B1"/>
    <w:rsid w:val="00F17E55"/>
    <w:rsid w:val="00F2070C"/>
    <w:rsid w:val="00F21694"/>
    <w:rsid w:val="00F232E9"/>
    <w:rsid w:val="00F25362"/>
    <w:rsid w:val="00F26C3E"/>
    <w:rsid w:val="00F36A58"/>
    <w:rsid w:val="00F41699"/>
    <w:rsid w:val="00F422BF"/>
    <w:rsid w:val="00F43946"/>
    <w:rsid w:val="00F47BCE"/>
    <w:rsid w:val="00F53AD0"/>
    <w:rsid w:val="00F54AC6"/>
    <w:rsid w:val="00F54DE4"/>
    <w:rsid w:val="00F56AF0"/>
    <w:rsid w:val="00F624FF"/>
    <w:rsid w:val="00F62832"/>
    <w:rsid w:val="00F6677B"/>
    <w:rsid w:val="00F72363"/>
    <w:rsid w:val="00F7296D"/>
    <w:rsid w:val="00F7307E"/>
    <w:rsid w:val="00F731DD"/>
    <w:rsid w:val="00F73E95"/>
    <w:rsid w:val="00F8021F"/>
    <w:rsid w:val="00F80C9E"/>
    <w:rsid w:val="00F82300"/>
    <w:rsid w:val="00F8419C"/>
    <w:rsid w:val="00F846B9"/>
    <w:rsid w:val="00F851E2"/>
    <w:rsid w:val="00F85CAD"/>
    <w:rsid w:val="00F86327"/>
    <w:rsid w:val="00F86994"/>
    <w:rsid w:val="00F97258"/>
    <w:rsid w:val="00F97CC3"/>
    <w:rsid w:val="00FA0B9D"/>
    <w:rsid w:val="00FA1CA1"/>
    <w:rsid w:val="00FA230E"/>
    <w:rsid w:val="00FA35AC"/>
    <w:rsid w:val="00FA4593"/>
    <w:rsid w:val="00FB0FD2"/>
    <w:rsid w:val="00FB178D"/>
    <w:rsid w:val="00FB28DF"/>
    <w:rsid w:val="00FB3022"/>
    <w:rsid w:val="00FC2280"/>
    <w:rsid w:val="00FC7111"/>
    <w:rsid w:val="00FC73AA"/>
    <w:rsid w:val="00FC7948"/>
    <w:rsid w:val="00FE5361"/>
    <w:rsid w:val="00FE5A57"/>
    <w:rsid w:val="00FF411C"/>
    <w:rsid w:val="00FF7C62"/>
    <w:rsid w:val="02076F1C"/>
    <w:rsid w:val="03F90AE6"/>
    <w:rsid w:val="09774C4D"/>
    <w:rsid w:val="0AF81AF7"/>
    <w:rsid w:val="0BA37CB5"/>
    <w:rsid w:val="0C664EE3"/>
    <w:rsid w:val="0CAC2B9A"/>
    <w:rsid w:val="0CE07C4A"/>
    <w:rsid w:val="121A67F7"/>
    <w:rsid w:val="128B5CFC"/>
    <w:rsid w:val="14067033"/>
    <w:rsid w:val="149A10C6"/>
    <w:rsid w:val="16783AEC"/>
    <w:rsid w:val="16E96798"/>
    <w:rsid w:val="19742C91"/>
    <w:rsid w:val="1EA57543"/>
    <w:rsid w:val="1F1840BF"/>
    <w:rsid w:val="2B065713"/>
    <w:rsid w:val="2BEC7501"/>
    <w:rsid w:val="31B60CE4"/>
    <w:rsid w:val="32186458"/>
    <w:rsid w:val="374C0952"/>
    <w:rsid w:val="389D4789"/>
    <w:rsid w:val="39292CF8"/>
    <w:rsid w:val="39B3388D"/>
    <w:rsid w:val="3CCD42E3"/>
    <w:rsid w:val="42A764BD"/>
    <w:rsid w:val="452C0336"/>
    <w:rsid w:val="48B64176"/>
    <w:rsid w:val="4C7B78B7"/>
    <w:rsid w:val="4E4D7031"/>
    <w:rsid w:val="4EA50C1B"/>
    <w:rsid w:val="51C12BEF"/>
    <w:rsid w:val="52AF0B09"/>
    <w:rsid w:val="55512403"/>
    <w:rsid w:val="55B66237"/>
    <w:rsid w:val="58586CFE"/>
    <w:rsid w:val="58DC348C"/>
    <w:rsid w:val="596040BD"/>
    <w:rsid w:val="59B85CA7"/>
    <w:rsid w:val="5D2B2F81"/>
    <w:rsid w:val="60E5266C"/>
    <w:rsid w:val="614D13CA"/>
    <w:rsid w:val="6408782B"/>
    <w:rsid w:val="68105B85"/>
    <w:rsid w:val="68774F7F"/>
    <w:rsid w:val="6CB12539"/>
    <w:rsid w:val="6D6344B1"/>
    <w:rsid w:val="70AA32DD"/>
    <w:rsid w:val="71690827"/>
    <w:rsid w:val="73C3063A"/>
    <w:rsid w:val="74EB5A3B"/>
    <w:rsid w:val="772E53A2"/>
    <w:rsid w:val="79960FDD"/>
    <w:rsid w:val="7B095F0A"/>
    <w:rsid w:val="7B2829B4"/>
    <w:rsid w:val="7BA2010D"/>
    <w:rsid w:val="7EE10F4C"/>
    <w:rsid w:val="7F9234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eastAsia="宋体"/>
      <w:b/>
      <w:kern w:val="44"/>
      <w:sz w:val="44"/>
    </w:rPr>
  </w:style>
  <w:style w:type="paragraph" w:styleId="3">
    <w:name w:val="heading 2"/>
    <w:basedOn w:val="1"/>
    <w:next w:val="1"/>
    <w:link w:val="20"/>
    <w:unhideWhenUsed/>
    <w:qFormat/>
    <w:uiPriority w:val="9"/>
    <w:pPr>
      <w:keepNext/>
      <w:keepLines/>
      <w:spacing w:before="260" w:after="260" w:line="416" w:lineRule="auto"/>
      <w:outlineLvl w:val="1"/>
    </w:pPr>
    <w:rPr>
      <w:rFonts w:ascii="Calibri Light" w:hAnsi="Calibri Light" w:eastAsia="宋体"/>
      <w:b/>
      <w:bCs/>
      <w:szCs w:val="32"/>
    </w:rPr>
  </w:style>
  <w:style w:type="character" w:default="1" w:styleId="13">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Body Text"/>
    <w:basedOn w:val="1"/>
    <w:qFormat/>
    <w:uiPriority w:val="0"/>
    <w:pPr>
      <w:jc w:val="center"/>
    </w:pPr>
    <w:rPr>
      <w:sz w:val="30"/>
    </w:rPr>
  </w:style>
  <w:style w:type="paragraph" w:styleId="5">
    <w:name w:val="Body Text Indent"/>
    <w:basedOn w:val="1"/>
    <w:qFormat/>
    <w:uiPriority w:val="0"/>
    <w:pPr>
      <w:spacing w:line="600" w:lineRule="exact"/>
      <w:ind w:right="68" w:firstLine="630"/>
    </w:pPr>
    <w:rPr>
      <w:rFonts w:ascii="仿宋_GB2312" w:eastAsia="仿宋_GB2312"/>
      <w:sz w:val="30"/>
    </w:rPr>
  </w:style>
  <w:style w:type="paragraph" w:styleId="6">
    <w:name w:val="Date"/>
    <w:basedOn w:val="1"/>
    <w:next w:val="1"/>
    <w:qFormat/>
    <w:uiPriority w:val="0"/>
    <w:rPr>
      <w:spacing w:val="-20"/>
      <w:sz w:val="30"/>
    </w:rPr>
  </w:style>
  <w:style w:type="paragraph" w:styleId="7">
    <w:name w:val="Body Text Indent 2"/>
    <w:basedOn w:val="1"/>
    <w:qFormat/>
    <w:uiPriority w:val="0"/>
    <w:pPr>
      <w:spacing w:line="600" w:lineRule="exact"/>
      <w:ind w:firstLine="675"/>
    </w:pPr>
    <w:rPr>
      <w:rFonts w:ascii="金山简仿宋" w:eastAsia="金山简仿宋"/>
    </w:rPr>
  </w:style>
  <w:style w:type="paragraph" w:styleId="8">
    <w:name w:val="Balloon Text"/>
    <w:basedOn w:val="1"/>
    <w:semiHidden/>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Body Text Indent 3"/>
    <w:basedOn w:val="1"/>
    <w:qFormat/>
    <w:uiPriority w:val="0"/>
    <w:pPr>
      <w:ind w:firstLine="540"/>
    </w:pPr>
    <w:rPr>
      <w:rFonts w:ascii="宋体"/>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4">
    <w:name w:val="page number"/>
    <w:basedOn w:val="13"/>
    <w:qFormat/>
    <w:uiPriority w:val="0"/>
  </w:style>
  <w:style w:type="character" w:customStyle="1" w:styleId="16">
    <w:name w:val="标题 1 Char"/>
    <w:link w:val="2"/>
    <w:qFormat/>
    <w:uiPriority w:val="0"/>
    <w:rPr>
      <w:b/>
      <w:kern w:val="44"/>
      <w:sz w:val="44"/>
    </w:rPr>
  </w:style>
  <w:style w:type="paragraph" w:customStyle="1" w:styleId="17">
    <w:name w:val="p0"/>
    <w:basedOn w:val="1"/>
    <w:qFormat/>
    <w:uiPriority w:val="0"/>
    <w:pPr>
      <w:widowControl/>
    </w:pPr>
    <w:rPr>
      <w:rFonts w:ascii="Calibri" w:hAnsi="Calibri" w:cs="Calibri"/>
      <w:kern w:val="0"/>
      <w:szCs w:val="21"/>
    </w:rPr>
  </w:style>
  <w:style w:type="paragraph" w:styleId="18">
    <w:name w:val="List Paragraph"/>
    <w:basedOn w:val="1"/>
    <w:unhideWhenUsed/>
    <w:qFormat/>
    <w:uiPriority w:val="99"/>
    <w:pPr>
      <w:ind w:firstLine="420" w:firstLineChars="200"/>
    </w:pPr>
  </w:style>
  <w:style w:type="paragraph" w:styleId="19">
    <w:name w:val="No Spacing"/>
    <w:qFormat/>
    <w:uiPriority w:val="1"/>
    <w:pPr>
      <w:widowControl w:val="0"/>
      <w:jc w:val="both"/>
    </w:pPr>
    <w:rPr>
      <w:rFonts w:ascii="Times New Roman" w:hAnsi="Times New Roman" w:eastAsia="仿宋_GB2312" w:cs="Times New Roman"/>
      <w:kern w:val="2"/>
      <w:sz w:val="32"/>
      <w:lang w:val="en-US" w:eastAsia="zh-CN" w:bidi="ar-SA"/>
    </w:rPr>
  </w:style>
  <w:style w:type="character" w:customStyle="1" w:styleId="20">
    <w:name w:val="标题 2 Char"/>
    <w:link w:val="3"/>
    <w:qFormat/>
    <w:uiPriority w:val="9"/>
    <w:rPr>
      <w:rFonts w:ascii="Calibri Light" w:hAnsi="Calibri Light" w:cs="黑体"/>
      <w:b/>
      <w:bCs/>
      <w:kern w:val="2"/>
      <w:sz w:val="32"/>
      <w:szCs w:val="32"/>
    </w:rPr>
  </w:style>
  <w:style w:type="paragraph" w:customStyle="1" w:styleId="21">
    <w:name w:val="列出段落1"/>
    <w:basedOn w:val="1"/>
    <w:qFormat/>
    <w:uiPriority w:val="34"/>
    <w:pPr>
      <w:ind w:firstLine="420" w:firstLineChars="200"/>
    </w:pPr>
    <w:rPr>
      <w:rFonts w:ascii="仿宋" w:hAnsi="仿宋" w:eastAsia="仿宋"/>
      <w:szCs w:val="32"/>
    </w:rPr>
  </w:style>
  <w:style w:type="character" w:customStyle="1" w:styleId="22">
    <w:name w:val="页脚 字符"/>
    <w:basedOn w:val="13"/>
    <w:link w:val="9"/>
    <w:qFormat/>
    <w:uiPriority w:val="0"/>
    <w:rPr>
      <w:rFonts w:hint="default" w:ascii="Calibri" w:hAnsi="Calibri" w:cs="Calibri"/>
      <w:kern w:val="2"/>
      <w:sz w:val="18"/>
      <w:szCs w:val="18"/>
    </w:rPr>
  </w:style>
  <w:style w:type="character" w:customStyle="1" w:styleId="23">
    <w:name w:val="font21"/>
    <w:basedOn w:val="13"/>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278</Words>
  <Characters>298</Characters>
  <Lines>2</Lines>
  <Paragraphs>1</Paragraphs>
  <TotalTime>9</TotalTime>
  <ScaleCrop>false</ScaleCrop>
  <LinksUpToDate>false</LinksUpToDate>
  <CharactersWithSpaces>343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2005-08-24T01:46:00Z</dcterms:created>
  <dc:creator>ty</dc:creator>
  <cp:lastModifiedBy>田木木</cp:lastModifiedBy>
  <cp:lastPrinted>2020-05-28T01:57:00Z</cp:lastPrinted>
  <dcterms:modified xsi:type="dcterms:W3CDTF">2025-04-09T08:36:15Z</dcterms:modified>
  <dc:title>甘建七司[2004]100号</dc:title>
  <cp:revision>523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A5F03DD1867E46EAA9AF016A96422BA3</vt:lpwstr>
  </property>
</Properties>
</file>